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bookmarkStart w:id="18" w:name="_GoBack"/>
      <w:bookmarkEnd w:id="18"/>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w:t>
      </w:r>
      <w:r>
        <w:rPr>
          <w:rFonts w:hint="eastAsia" w:ascii="黑体" w:hAnsi="黑体" w:eastAsia="黑体" w:cs="黑体"/>
          <w:b/>
          <w:bCs/>
          <w:color w:val="auto"/>
          <w:sz w:val="40"/>
          <w:szCs w:val="40"/>
          <w:highlight w:val="none"/>
          <w:lang w:eastAsia="zh-CN"/>
        </w:rPr>
        <w:t>学前教育幼儿资助县级配套</w:t>
      </w:r>
      <w:r>
        <w:rPr>
          <w:rFonts w:hint="eastAsia" w:ascii="黑体" w:hAnsi="黑体" w:eastAsia="黑体" w:cs="黑体"/>
          <w:b/>
          <w:bCs/>
          <w:color w:val="auto"/>
          <w:sz w:val="40"/>
          <w:szCs w:val="40"/>
          <w:highlight w:val="none"/>
        </w:rPr>
        <w:t>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pStyle w:val="5"/>
        <w:rPr>
          <w:color w:val="auto"/>
          <w:highlight w:val="none"/>
        </w:rPr>
      </w:pPr>
    </w:p>
    <w:p>
      <w:pPr>
        <w:spacing w:line="360" w:lineRule="auto"/>
        <w:ind w:firstLine="600"/>
        <w:rPr>
          <w:rFonts w:hint="eastAsia" w:ascii="黑体" w:eastAsia="黑体"/>
          <w:color w:val="auto"/>
          <w:sz w:val="30"/>
          <w:szCs w:val="30"/>
          <w:highlight w:val="none"/>
        </w:rPr>
      </w:pPr>
      <w:r>
        <w:rPr>
          <w:rFonts w:hint="eastAsia" w:ascii="黑体" w:eastAsia="黑体"/>
          <w:color w:val="auto"/>
          <w:sz w:val="32"/>
          <w:szCs w:val="32"/>
          <w:highlight w:val="none"/>
        </w:rPr>
        <w:t>项目名称：</w:t>
      </w:r>
      <w:r>
        <w:rPr>
          <w:rFonts w:hint="eastAsia" w:ascii="黑体" w:eastAsia="黑体"/>
          <w:color w:val="auto"/>
          <w:sz w:val="30"/>
          <w:szCs w:val="30"/>
          <w:highlight w:val="none"/>
        </w:rPr>
        <w:t>2023年学前教育幼儿资助县级配套</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托克逊县中心幼儿园</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尤春</w:t>
      </w:r>
    </w:p>
    <w:p>
      <w:pP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31日</w:t>
      </w: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2023年学前教育幼儿资助县级配套项目支出绩效评价报告</w:t>
      </w:r>
    </w:p>
    <w:p>
      <w:pPr>
        <w:pStyle w:val="3"/>
        <w:ind w:firstLine="640"/>
        <w:rPr>
          <w:color w:val="auto"/>
          <w:highlight w:val="none"/>
        </w:rPr>
      </w:pPr>
      <w:r>
        <w:rPr>
          <w:rFonts w:hint="eastAsia"/>
          <w:color w:val="auto"/>
          <w:highlight w:val="none"/>
        </w:rPr>
        <w:t>一、基本情况</w:t>
      </w:r>
    </w:p>
    <w:p>
      <w:pPr>
        <w:pStyle w:val="5"/>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pPr>
        <w:pStyle w:val="4"/>
        <w:ind w:firstLine="643"/>
        <w:rPr>
          <w:rFonts w:hint="default"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办好学前教育，实现幼有所育，市党和政府为老百姓办实事的重大民生工程。为解决学前教育资源不足，城乡发展不平衡、一些地方入园难，入园贵等问题，《国务院关于当前发展学前教育的若干意见》、《国家中长期教育改革和发展规划纲要》等文件多种形式扩大学前教育资源，多种渠道加大学前教育投入等要求。为落实文件精神，中央财政通过补助和奖励的方式支持学前教育发展。</w:t>
      </w:r>
    </w:p>
    <w:p>
      <w:pPr>
        <w:pStyle w:val="4"/>
        <w:ind w:firstLine="643"/>
        <w:rPr>
          <w:color w:val="auto"/>
          <w:highlight w:val="none"/>
        </w:rPr>
      </w:pPr>
      <w:r>
        <w:rPr>
          <w:rFonts w:hint="eastAsia"/>
          <w:color w:val="auto"/>
          <w:highlight w:val="none"/>
          <w:lang w:val="en-US" w:eastAsia="zh-CN"/>
        </w:rPr>
        <w:t>1.</w:t>
      </w:r>
      <w:r>
        <w:rPr>
          <w:rFonts w:hint="eastAsia"/>
          <w:color w:val="auto"/>
          <w:highlight w:val="none"/>
        </w:rPr>
        <w:t>项目概况</w:t>
      </w:r>
    </w:p>
    <w:p>
      <w:pPr>
        <w:pStyle w:val="5"/>
        <w:ind w:firstLine="562"/>
        <w:rPr>
          <w:rFonts w:hint="default" w:hAnsi="Times New Roman" w:cs="Times New Roman"/>
          <w:b w:val="0"/>
          <w:bCs/>
          <w:color w:val="auto"/>
          <w:kern w:val="2"/>
          <w:sz w:val="30"/>
          <w:szCs w:val="30"/>
          <w:highlight w:val="none"/>
          <w:lang w:val="en-US" w:eastAsia="zh-CN" w:bidi="ar-SA"/>
        </w:rPr>
      </w:pPr>
      <w:r>
        <w:rPr>
          <w:rFonts w:hint="eastAsia" w:hAnsi="Times New Roman" w:cs="Times New Roman"/>
          <w:b w:val="0"/>
          <w:bCs/>
          <w:color w:val="auto"/>
          <w:kern w:val="2"/>
          <w:sz w:val="30"/>
          <w:szCs w:val="30"/>
          <w:highlight w:val="none"/>
          <w:lang w:val="en-US" w:eastAsia="zh-CN" w:bidi="ar-SA"/>
        </w:rPr>
        <w:t>为贯彻落实教育部、国家发展改革委、财政部《关于实施学前教育三年行动计划的意见》进一步加强公办幼儿园建设，不断扩大学前教育资源，全面提高政府公共服务能力，保障适龄儿童接受基本的、有质量的学前教育。</w:t>
      </w:r>
    </w:p>
    <w:p>
      <w:pPr>
        <w:pStyle w:val="5"/>
        <w:ind w:firstLine="562"/>
        <w:rPr>
          <w:color w:val="auto"/>
          <w:highlight w:val="none"/>
        </w:rPr>
      </w:pPr>
      <w:r>
        <w:rPr>
          <w:rFonts w:hint="eastAsia"/>
          <w:color w:val="auto"/>
          <w:highlight w:val="none"/>
        </w:rPr>
        <w:t>2.项目实施主体</w:t>
      </w:r>
    </w:p>
    <w:p>
      <w:pPr>
        <w:ind w:firstLine="562"/>
        <w:rPr>
          <w:rFonts w:hint="eastAsia"/>
          <w:b/>
          <w:color w:val="auto"/>
          <w:highlight w:val="none"/>
        </w:rPr>
      </w:pPr>
      <w:r>
        <w:rPr>
          <w:rFonts w:hint="eastAsia"/>
          <w:b/>
          <w:color w:val="auto"/>
          <w:highlight w:val="none"/>
        </w:rPr>
        <w:t>（1）单位职能</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1、宣传贯彻执行党和国家的教育方针、政策、法律法规等，坚持依法治教、依法治学，贯彻执行县教体局的行政规章制度。</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2、配合县人民政府制定符合党的教育方针和国家教育法律法规以及本校实际的教育发展规划和学校布局调整规划，并抓好组织实施和落实工作。</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3、巩固提高“两基”工作成果和整体水平，配合各级人民政府依法动员工作。</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4、组织开展本校的教育教学科研和教育教学改革，科研兴教，科研兴校。负责对本校教育教学业务的具体管理，负责教育教学，管理及教研教改工作，全力推进素质教育实施。</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5、按照干部和教师的职数、编制和管理权限，负责本校教师人事管理、继续教育、考核考评等工作。</w:t>
      </w:r>
    </w:p>
    <w:p>
      <w:pPr>
        <w:ind w:left="638" w:leftChars="228" w:firstLine="0" w:firstLineChars="0"/>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6、负责本校财务和基建管理，筹措资金，改善办学条件等工作。7、指导、管理、检查、评价本校的教育教学工作，提高办学质量和办学效益。全面推进素质教育，全面提高教育教学质量。</w:t>
      </w:r>
    </w:p>
    <w:p>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ind w:firstLine="560"/>
        <w:rPr>
          <w:rFonts w:ascii="仿宋" w:hAnsi="仿宋" w:eastAsia="仿宋"/>
          <w:color w:val="auto"/>
          <w:highlight w:val="none"/>
        </w:rPr>
      </w:pPr>
      <w:r>
        <w:rPr>
          <w:rFonts w:hint="eastAsia" w:ascii="仿宋" w:hAnsi="仿宋" w:eastAsia="仿宋"/>
          <w:color w:val="auto"/>
          <w:szCs w:val="28"/>
          <w:highlight w:val="none"/>
          <w:lang w:val="en-US" w:eastAsia="zh-CN"/>
        </w:rPr>
        <w:t>托克逊县中心幼儿园共设有5个处室，主要有：</w:t>
      </w:r>
      <w:r>
        <w:rPr>
          <w:rFonts w:hint="eastAsia" w:ascii="仿宋_GB2312" w:hAnsi="黑体" w:eastAsia="仿宋_GB2312" w:cs="宋体"/>
          <w:bCs/>
          <w:color w:val="auto"/>
          <w:kern w:val="0"/>
          <w:sz w:val="32"/>
          <w:szCs w:val="32"/>
          <w:highlight w:val="none"/>
        </w:rPr>
        <w:t>办公室、教务室、财务室、医务室、档案室</w:t>
      </w:r>
      <w:r>
        <w:rPr>
          <w:rFonts w:hint="eastAsia" w:ascii="仿宋_GB2312" w:hAnsi="宋体" w:eastAsia="仿宋_GB2312" w:cs="宋体"/>
          <w:color w:val="auto"/>
          <w:kern w:val="0"/>
          <w:sz w:val="32"/>
          <w:szCs w:val="32"/>
          <w:highlight w:val="none"/>
        </w:rPr>
        <w:t>。</w:t>
      </w:r>
      <w:r>
        <w:rPr>
          <w:rFonts w:hint="eastAsia" w:ascii="仿宋" w:hAnsi="仿宋" w:eastAsia="仿宋"/>
          <w:color w:val="auto"/>
          <w:szCs w:val="28"/>
          <w:highlight w:val="none"/>
          <w:lang w:val="en-US" w:eastAsia="zh-CN"/>
        </w:rPr>
        <w:t>托克逊县中心幼儿园</w:t>
      </w:r>
      <w:r>
        <w:rPr>
          <w:rFonts w:hint="eastAsia" w:ascii="仿宋" w:hAnsi="仿宋" w:eastAsia="仿宋"/>
          <w:color w:val="auto"/>
          <w:szCs w:val="28"/>
          <w:highlight w:val="none"/>
        </w:rPr>
        <w:t>人员编制数共</w:t>
      </w:r>
      <w:r>
        <w:rPr>
          <w:rFonts w:hint="eastAsia" w:ascii="仿宋" w:hAnsi="仿宋" w:eastAsia="仿宋"/>
          <w:color w:val="auto"/>
          <w:szCs w:val="28"/>
          <w:highlight w:val="none"/>
          <w:lang w:val="en-US" w:eastAsia="zh-CN"/>
        </w:rPr>
        <w:t>78</w:t>
      </w:r>
      <w:r>
        <w:rPr>
          <w:rFonts w:hint="eastAsia" w:ascii="仿宋" w:hAnsi="仿宋" w:eastAsia="仿宋"/>
          <w:color w:val="auto"/>
          <w:szCs w:val="28"/>
          <w:highlight w:val="none"/>
        </w:rPr>
        <w:t>人，年初实有在职人员</w:t>
      </w:r>
      <w:r>
        <w:rPr>
          <w:rFonts w:hint="eastAsia" w:ascii="仿宋" w:hAnsi="仿宋" w:eastAsia="仿宋"/>
          <w:color w:val="auto"/>
          <w:szCs w:val="28"/>
          <w:highlight w:val="none"/>
          <w:lang w:val="en-US" w:eastAsia="zh-CN"/>
        </w:rPr>
        <w:t>121</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38</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116</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40</w:t>
      </w:r>
      <w:r>
        <w:rPr>
          <w:rFonts w:hint="eastAsia" w:ascii="仿宋" w:hAnsi="仿宋" w:eastAsia="仿宋"/>
          <w:color w:val="auto"/>
          <w:szCs w:val="28"/>
          <w:highlight w:val="none"/>
        </w:rPr>
        <w:t>人。</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spacing w:line="360" w:lineRule="auto"/>
        <w:ind w:firstLine="6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color w:val="auto"/>
          <w:highlight w:val="none"/>
          <w:lang w:val="en-US" w:eastAsia="zh-CN"/>
        </w:rPr>
        <w:t>项目名称：</w:t>
      </w:r>
      <w:r>
        <w:rPr>
          <w:rFonts w:hint="eastAsia" w:ascii="仿宋_GB2312" w:hAnsi="仿宋_GB2312" w:eastAsia="仿宋_GB2312" w:cs="Times New Roman"/>
          <w:b w:val="0"/>
          <w:bCs w:val="0"/>
          <w:color w:val="auto"/>
          <w:kern w:val="0"/>
          <w:sz w:val="28"/>
          <w:szCs w:val="32"/>
          <w:highlight w:val="none"/>
          <w:lang w:val="en-US" w:eastAsia="zh-CN" w:bidi="ar-SA"/>
        </w:rPr>
        <w:t>2023年学前教育幼儿资助县级配套</w:t>
      </w:r>
    </w:p>
    <w:p>
      <w:pPr>
        <w:ind w:firstLine="56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项目主要内容：2023年学前教育幼儿资助县级配套</w:t>
      </w:r>
    </w:p>
    <w:p>
      <w:pPr>
        <w:pStyle w:val="5"/>
        <w:rPr>
          <w:rFonts w:hint="eastAsia"/>
          <w:b w:val="0"/>
          <w:bCs w:val="0"/>
          <w:color w:val="auto"/>
          <w:highlight w:val="none"/>
          <w:lang w:val="en-US" w:eastAsia="zh-CN"/>
        </w:rPr>
      </w:pPr>
      <w:r>
        <w:rPr>
          <w:rFonts w:hint="eastAsia" w:ascii="仿宋_GB2312" w:hAnsi="仿宋_GB2312" w:eastAsia="仿宋_GB2312" w:cs="Times New Roman"/>
          <w:b w:val="0"/>
          <w:bCs w:val="0"/>
          <w:color w:val="auto"/>
          <w:kern w:val="0"/>
          <w:sz w:val="28"/>
          <w:szCs w:val="32"/>
          <w:highlight w:val="none"/>
          <w:lang w:val="en-US" w:eastAsia="zh-CN" w:bidi="ar-SA"/>
        </w:rPr>
        <w:t>项目实施时间：本项目实施时间为202</w:t>
      </w:r>
      <w:r>
        <w:rPr>
          <w:rFonts w:hint="eastAsia"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年1月-202</w:t>
      </w:r>
      <w:r>
        <w:rPr>
          <w:rFonts w:hint="eastAsia"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年12</w:t>
      </w:r>
      <w:r>
        <w:rPr>
          <w:rFonts w:hint="eastAsia"/>
          <w:b w:val="0"/>
          <w:bCs w:val="0"/>
          <w:color w:val="auto"/>
          <w:highlight w:val="none"/>
          <w:lang w:val="en-US" w:eastAsia="zh-CN"/>
        </w:rPr>
        <w:t>月</w:t>
      </w:r>
    </w:p>
    <w:p>
      <w:pPr>
        <w:rPr>
          <w:rFonts w:hint="eastAsia"/>
          <w:color w:val="auto"/>
          <w:highlight w:val="none"/>
          <w:lang w:val="en-US" w:eastAsia="zh-CN"/>
        </w:rPr>
      </w:pPr>
      <w:r>
        <w:rPr>
          <w:rFonts w:hint="eastAsia"/>
          <w:color w:val="auto"/>
          <w:highlight w:val="none"/>
          <w:lang w:val="en-US" w:eastAsia="zh-CN"/>
        </w:rPr>
        <w:t>项目实施情况：</w:t>
      </w:r>
    </w:p>
    <w:p>
      <w:pP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项目预算安排总额为</w:t>
      </w:r>
      <w:r>
        <w:rPr>
          <w:rFonts w:hint="eastAsia"/>
          <w:color w:val="auto"/>
          <w:highlight w:val="none"/>
          <w:lang w:val="en-US" w:eastAsia="zh-CN"/>
        </w:rPr>
        <w:t>326.52</w:t>
      </w:r>
      <w:r>
        <w:rPr>
          <w:color w:val="auto"/>
          <w:highlight w:val="none"/>
        </w:rPr>
        <w:t>万元，其中财政资金</w:t>
      </w:r>
      <w:r>
        <w:rPr>
          <w:rFonts w:hint="eastAsia"/>
          <w:color w:val="auto"/>
          <w:highlight w:val="none"/>
          <w:lang w:val="en-US" w:eastAsia="zh-CN"/>
        </w:rPr>
        <w:t>326.52</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248.91</w:t>
      </w:r>
      <w:r>
        <w:rPr>
          <w:color w:val="auto"/>
          <w:highlight w:val="none"/>
        </w:rPr>
        <w:t>万元，预算资金到位率为</w:t>
      </w:r>
      <w:r>
        <w:rPr>
          <w:rFonts w:hint="eastAsia"/>
          <w:color w:val="auto"/>
          <w:highlight w:val="none"/>
          <w:lang w:val="en-US" w:eastAsia="zh-CN"/>
        </w:rPr>
        <w:t>76.23</w:t>
      </w:r>
      <w:r>
        <w:rPr>
          <w:color w:val="auto"/>
          <w:highlight w:val="none"/>
        </w:rPr>
        <w:t>%。</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预算安排总额为</w:t>
      </w:r>
      <w:r>
        <w:rPr>
          <w:rFonts w:hint="eastAsia"/>
          <w:color w:val="auto"/>
          <w:highlight w:val="none"/>
          <w:lang w:val="en-US" w:eastAsia="zh-CN"/>
        </w:rPr>
        <w:t>326.52</w:t>
      </w:r>
      <w:r>
        <w:rPr>
          <w:color w:val="auto"/>
          <w:highlight w:val="none"/>
        </w:rPr>
        <w:t>万元，其中财政资金</w:t>
      </w:r>
      <w:r>
        <w:rPr>
          <w:rFonts w:hint="eastAsia"/>
          <w:color w:val="auto"/>
          <w:highlight w:val="none"/>
          <w:lang w:val="en-US" w:eastAsia="zh-CN"/>
        </w:rPr>
        <w:t>326.52</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326.52</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ind w:firstLine="560"/>
        <w:rPr>
          <w:rFonts w:hint="default" w:eastAsia="仿宋_GB2312"/>
          <w:b w:val="0"/>
          <w:bCs w:val="0"/>
          <w:color w:val="auto"/>
          <w:highlight w:val="none"/>
          <w:lang w:val="en-US" w:eastAsia="zh-CN"/>
        </w:rPr>
      </w:pPr>
      <w:r>
        <w:rPr>
          <w:rFonts w:hint="eastAsia"/>
          <w:color w:val="auto"/>
          <w:highlight w:val="none"/>
        </w:rPr>
        <w:t>本项目实际支付资金</w:t>
      </w:r>
      <w:r>
        <w:rPr>
          <w:rFonts w:hint="eastAsia"/>
          <w:color w:val="auto"/>
          <w:highlight w:val="none"/>
          <w:lang w:val="en-US" w:eastAsia="zh-CN"/>
        </w:rPr>
        <w:t>248.91</w:t>
      </w:r>
      <w:r>
        <w:rPr>
          <w:rFonts w:hint="eastAsia"/>
          <w:color w:val="auto"/>
          <w:highlight w:val="none"/>
        </w:rPr>
        <w:t>万元，预算执行率</w:t>
      </w:r>
      <w:r>
        <w:rPr>
          <w:rFonts w:hint="eastAsia"/>
          <w:color w:val="auto"/>
          <w:highlight w:val="none"/>
          <w:lang w:val="en-US" w:eastAsia="zh-CN"/>
        </w:rPr>
        <w:t>76.23</w:t>
      </w:r>
      <w:r>
        <w:rPr>
          <w:color w:val="auto"/>
          <w:highlight w:val="none"/>
        </w:rPr>
        <w:t>%</w:t>
      </w:r>
      <w:r>
        <w:rPr>
          <w:rFonts w:hint="eastAsia"/>
          <w:color w:val="auto"/>
          <w:highlight w:val="none"/>
        </w:rPr>
        <w:t>（预算执行率=（实际支出资金/预算批复金额）*100%。项目资金主要用于</w:t>
      </w:r>
      <w:r>
        <w:rPr>
          <w:rFonts w:hint="eastAsia"/>
          <w:color w:val="auto"/>
          <w:highlight w:val="none"/>
          <w:lang w:val="en-US" w:eastAsia="zh-CN"/>
        </w:rPr>
        <w:t>支付办公费48.396万元、水费4.88万元、电费5.38万元、邮电费3.9万元、取暖费12.34万元、维修费25.28万元、培训费0.9万元、劳务费10.72万元、其他商品和服务支出12.9万元、助学金91.19万元、办公设备购置44.32万元。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pStyle w:val="5"/>
        <w:ind w:firstLine="562"/>
        <w:rPr>
          <w:rFonts w:hint="eastAsia"/>
          <w:b w:val="0"/>
          <w:bCs w:val="0"/>
          <w:color w:val="auto"/>
          <w:highlight w:val="none"/>
          <w:lang w:val="en-US" w:eastAsia="zh-CN"/>
        </w:rPr>
      </w:pPr>
      <w:r>
        <w:rPr>
          <w:rFonts w:hint="eastAsia"/>
          <w:b w:val="0"/>
          <w:bCs w:val="0"/>
          <w:color w:val="auto"/>
          <w:highlight w:val="none"/>
          <w:lang w:val="en-US" w:eastAsia="zh-CN"/>
        </w:rPr>
        <w:t>保障城区2652名农村在园幼儿免费接受学前三年教育,提高我县农村学前国语教育覆盖率，完善学前教育体系，持续推进学前教育事业发展。</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color w:val="auto"/>
          <w:highlight w:val="none"/>
        </w:rPr>
      </w:pPr>
      <w:r>
        <w:rPr>
          <w:rFonts w:hint="eastAsia"/>
          <w:color w:val="auto"/>
          <w:highlight w:val="none"/>
        </w:rPr>
        <w:t>①数量指标</w:t>
      </w:r>
    </w:p>
    <w:p>
      <w:pPr>
        <w:ind w:firstLine="560"/>
        <w:rPr>
          <w:color w:val="auto"/>
          <w:highlight w:val="none"/>
        </w:rPr>
      </w:pPr>
      <w:r>
        <w:rPr>
          <w:rFonts w:hint="eastAsia"/>
          <w:color w:val="auto"/>
          <w:highlight w:val="none"/>
        </w:rPr>
        <w:t>“享受学前教育资助的幼儿园数量”指标，预期指标值为</w:t>
      </w:r>
      <w:r>
        <w:rPr>
          <w:rFonts w:hint="eastAsia"/>
          <w:color w:val="auto"/>
          <w:highlight w:val="none"/>
          <w:lang w:val="en-US" w:eastAsia="zh-CN"/>
        </w:rPr>
        <w:t>大于等于7所</w:t>
      </w:r>
      <w:r>
        <w:rPr>
          <w:rFonts w:hint="eastAsia"/>
          <w:color w:val="auto"/>
          <w:highlight w:val="none"/>
        </w:rPr>
        <w:t>；</w:t>
      </w:r>
    </w:p>
    <w:p>
      <w:pPr>
        <w:ind w:firstLine="560"/>
        <w:rPr>
          <w:rFonts w:hint="eastAsia"/>
          <w:color w:val="auto"/>
          <w:highlight w:val="none"/>
        </w:rPr>
      </w:pPr>
      <w:r>
        <w:rPr>
          <w:rFonts w:hint="eastAsia"/>
          <w:color w:val="auto"/>
          <w:highlight w:val="none"/>
        </w:rPr>
        <w:t>“享受学前教育资助的幼儿人数”指标，预期指标值为</w:t>
      </w:r>
      <w:r>
        <w:rPr>
          <w:rFonts w:hint="eastAsia"/>
          <w:color w:val="auto"/>
          <w:highlight w:val="none"/>
          <w:lang w:val="en-US" w:eastAsia="zh-CN"/>
        </w:rPr>
        <w:t>大于等于2652人</w:t>
      </w:r>
      <w:r>
        <w:rPr>
          <w:rFonts w:hint="eastAsia"/>
          <w:color w:val="auto"/>
          <w:highlight w:val="none"/>
        </w:rPr>
        <w:t>。</w:t>
      </w:r>
    </w:p>
    <w:p>
      <w:pPr>
        <w:ind w:firstLine="560"/>
        <w:rPr>
          <w:rFonts w:hint="eastAsia"/>
          <w:color w:val="auto"/>
          <w:highlight w:val="none"/>
        </w:rPr>
      </w:pPr>
      <w:r>
        <w:rPr>
          <w:rFonts w:hint="eastAsia"/>
          <w:color w:val="auto"/>
          <w:highlight w:val="none"/>
        </w:rPr>
        <w:t>“普惠性学前教育资源覆盖率”指标，预期指标值为</w:t>
      </w:r>
      <w:r>
        <w:rPr>
          <w:rFonts w:hint="eastAsia"/>
          <w:color w:val="auto"/>
          <w:highlight w:val="none"/>
          <w:lang w:val="en-US" w:eastAsia="zh-CN"/>
        </w:rPr>
        <w:t>大于等于95%</w:t>
      </w:r>
      <w:r>
        <w:rPr>
          <w:rFonts w:hint="eastAsia"/>
          <w:color w:val="auto"/>
          <w:highlight w:val="none"/>
        </w:rPr>
        <w:t>。</w:t>
      </w:r>
    </w:p>
    <w:p>
      <w:pPr>
        <w:ind w:firstLine="560"/>
        <w:rPr>
          <w:rFonts w:hint="eastAsia"/>
          <w:color w:val="auto"/>
          <w:highlight w:val="none"/>
        </w:rPr>
      </w:pPr>
      <w:r>
        <w:rPr>
          <w:rFonts w:hint="eastAsia"/>
          <w:color w:val="auto"/>
          <w:highlight w:val="none"/>
        </w:rPr>
        <w:t>“公办园在园幼儿占比”指标，预期指标值</w:t>
      </w:r>
      <w:r>
        <w:rPr>
          <w:rFonts w:hint="eastAsia"/>
          <w:color w:val="auto"/>
          <w:highlight w:val="none"/>
          <w:lang w:eastAsia="zh-CN"/>
        </w:rPr>
        <w:t>为</w:t>
      </w:r>
      <w:r>
        <w:rPr>
          <w:rFonts w:hint="eastAsia"/>
          <w:color w:val="auto"/>
          <w:highlight w:val="none"/>
          <w:lang w:val="en-US" w:eastAsia="zh-CN"/>
        </w:rPr>
        <w:t>95%</w:t>
      </w:r>
      <w:r>
        <w:rPr>
          <w:rFonts w:hint="eastAsia"/>
          <w:color w:val="auto"/>
          <w:highlight w:val="none"/>
        </w:rPr>
        <w:t>。</w:t>
      </w:r>
    </w:p>
    <w:p>
      <w:pPr>
        <w:ind w:firstLine="560"/>
        <w:rPr>
          <w:color w:val="auto"/>
          <w:highlight w:val="none"/>
        </w:rPr>
      </w:pPr>
      <w:r>
        <w:rPr>
          <w:rFonts w:hint="eastAsia"/>
          <w:color w:val="auto"/>
          <w:highlight w:val="none"/>
        </w:rPr>
        <w:t>②质量指标</w:t>
      </w:r>
    </w:p>
    <w:p>
      <w:pPr>
        <w:ind w:firstLine="560"/>
        <w:rPr>
          <w:color w:val="auto"/>
          <w:highlight w:val="none"/>
        </w:rPr>
      </w:pPr>
      <w:r>
        <w:rPr>
          <w:rFonts w:hint="eastAsia"/>
          <w:color w:val="auto"/>
          <w:highlight w:val="none"/>
        </w:rPr>
        <w:t>“农村学前国语教育覆盖率”指标，预期指标值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“专业幼师上岗率”指标，预期指标值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rFonts w:hint="eastAsia"/>
          <w:color w:val="auto"/>
          <w:highlight w:val="none"/>
        </w:rPr>
      </w:pPr>
      <w:r>
        <w:rPr>
          <w:rFonts w:hint="eastAsia"/>
          <w:color w:val="auto"/>
          <w:highlight w:val="none"/>
        </w:rPr>
        <w:t>“资金拨付及时率”指标，预期指标值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2"/>
        <w:rPr>
          <w:color w:val="auto"/>
          <w:highlight w:val="none"/>
        </w:rPr>
      </w:pPr>
      <w:r>
        <w:rPr>
          <w:rFonts w:hint="eastAsia" w:hAnsi="Arial" w:cs="宋体"/>
          <w:b/>
          <w:bCs/>
          <w:color w:val="auto"/>
          <w:highlight w:val="none"/>
        </w:rPr>
        <w:t>（</w:t>
      </w:r>
      <w:r>
        <w:rPr>
          <w:rFonts w:hint="eastAsia" w:hAnsi="Arial" w:cs="宋体"/>
          <w:b/>
          <w:bCs/>
          <w:color w:val="auto"/>
          <w:highlight w:val="none"/>
          <w:lang w:val="en-US" w:eastAsia="zh-CN"/>
        </w:rPr>
        <w:t>2</w:t>
      </w:r>
      <w:r>
        <w:rPr>
          <w:rFonts w:hint="eastAsia" w:hAnsi="Arial" w:cs="宋体"/>
          <w:b/>
          <w:bCs/>
          <w:color w:val="auto"/>
          <w:highlight w:val="none"/>
        </w:rPr>
        <w:t>）</w:t>
      </w:r>
      <w:r>
        <w:rPr>
          <w:rFonts w:hint="eastAsia" w:hAnsi="Arial" w:cs="宋体"/>
          <w:b/>
          <w:bCs/>
          <w:color w:val="auto"/>
          <w:highlight w:val="none"/>
          <w:lang w:val="en-US" w:eastAsia="zh-CN"/>
        </w:rPr>
        <w:t>项目</w:t>
      </w:r>
      <w:r>
        <w:rPr>
          <w:rFonts w:hint="eastAsia"/>
          <w:b/>
          <w:color w:val="auto"/>
          <w:highlight w:val="none"/>
          <w:lang w:val="en-US" w:eastAsia="zh-CN"/>
        </w:rPr>
        <w:t>成本</w:t>
      </w:r>
      <w:r>
        <w:rPr>
          <w:rFonts w:hint="eastAsia"/>
          <w:b/>
          <w:color w:val="auto"/>
          <w:highlight w:val="none"/>
        </w:rPr>
        <w:t>目标</w:t>
      </w:r>
    </w:p>
    <w:p>
      <w:pPr>
        <w:ind w:firstLine="560"/>
        <w:rPr>
          <w:rFonts w:hint="eastAsia"/>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eastAsia"/>
          <w:color w:val="auto"/>
          <w:highlight w:val="none"/>
        </w:rPr>
      </w:pPr>
      <w:r>
        <w:rPr>
          <w:rFonts w:hint="eastAsia"/>
          <w:color w:val="auto"/>
          <w:highlight w:val="none"/>
        </w:rPr>
        <w:t>“学前教育资助经费平均发放标准”指标，预期指标值</w:t>
      </w:r>
      <w:r>
        <w:rPr>
          <w:rFonts w:hint="eastAsia"/>
          <w:color w:val="auto"/>
          <w:highlight w:val="none"/>
          <w:lang w:eastAsia="zh-CN"/>
        </w:rPr>
        <w:t>为</w:t>
      </w:r>
      <w:r>
        <w:rPr>
          <w:rFonts w:hint="eastAsia"/>
          <w:color w:val="auto"/>
          <w:highlight w:val="none"/>
          <w:lang w:val="en-US" w:eastAsia="zh-CN"/>
        </w:rPr>
        <w:t>1227.8元/人/学年</w:t>
      </w:r>
      <w:r>
        <w:rPr>
          <w:rFonts w:hint="eastAsia"/>
          <w:color w:val="auto"/>
          <w:highlight w:val="none"/>
        </w:rPr>
        <w:t>；</w:t>
      </w:r>
    </w:p>
    <w:p>
      <w:pPr>
        <w:ind w:firstLine="560"/>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社会成本指标</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rFonts w:hint="eastAsia"/>
          <w:color w:val="auto"/>
          <w:highlight w:val="none"/>
          <w:lang w:val="en-US" w:eastAsia="zh-CN"/>
        </w:rPr>
      </w:pPr>
      <w:r>
        <w:rPr>
          <w:rFonts w:hint="eastAsia"/>
          <w:color w:val="auto"/>
          <w:highlight w:val="none"/>
        </w:rPr>
        <w:t>③</w:t>
      </w:r>
      <w:r>
        <w:rPr>
          <w:rFonts w:hint="eastAsia"/>
          <w:color w:val="auto"/>
          <w:highlight w:val="none"/>
          <w:lang w:val="en-US" w:eastAsia="zh-CN"/>
        </w:rPr>
        <w:t>生态环境成本指标</w:t>
      </w:r>
    </w:p>
    <w:p>
      <w:pPr>
        <w:ind w:firstLine="560"/>
        <w:rPr>
          <w:rFonts w:hint="default"/>
          <w:color w:val="auto"/>
          <w:highlight w:val="none"/>
          <w:lang w:val="en-US" w:eastAsia="zh-CN"/>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3</w:t>
      </w:r>
      <w:r>
        <w:rPr>
          <w:rFonts w:hint="eastAsia" w:ascii="仿宋" w:hAnsi="仿宋" w:eastAsia="仿宋"/>
          <w:b/>
          <w:color w:val="auto"/>
          <w:highlight w:val="none"/>
        </w:rPr>
        <w:t>）项目效益目标</w:t>
      </w:r>
    </w:p>
    <w:p>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pPr>
        <w:ind w:firstLine="560"/>
        <w:rPr>
          <w:color w:val="auto"/>
          <w:highlight w:val="none"/>
        </w:rPr>
      </w:pPr>
      <w:r>
        <w:rPr>
          <w:rFonts w:hint="eastAsia"/>
          <w:color w:val="auto"/>
          <w:highlight w:val="none"/>
        </w:rPr>
        <w:t>“学前三年毛入率”指标，预期指标值为</w:t>
      </w:r>
      <w:r>
        <w:rPr>
          <w:rFonts w:hint="eastAsia"/>
          <w:color w:val="auto"/>
          <w:highlight w:val="none"/>
          <w:lang w:val="en-US" w:eastAsia="zh-CN"/>
        </w:rPr>
        <w:t>大于等于95%</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“保障农村适龄幼儿接受免费学前教育”指标，预期指标值为有效</w:t>
      </w:r>
      <w:r>
        <w:rPr>
          <w:rFonts w:hint="eastAsia"/>
          <w:color w:val="auto"/>
          <w:highlight w:val="none"/>
          <w:lang w:val="en-US" w:eastAsia="zh-CN"/>
        </w:rPr>
        <w:t>提高</w:t>
      </w:r>
      <w:r>
        <w:rPr>
          <w:rFonts w:hint="eastAsia"/>
          <w:color w:val="auto"/>
          <w:highlight w:val="none"/>
        </w:rPr>
        <w:t>；</w:t>
      </w:r>
    </w:p>
    <w:p>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pPr>
        <w:ind w:firstLine="560"/>
        <w:rPr>
          <w:color w:val="auto"/>
          <w:highlight w:val="none"/>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（3）</w:t>
      </w:r>
      <w:r>
        <w:rPr>
          <w:rFonts w:hint="eastAsia" w:ascii="仿宋" w:hAnsi="仿宋" w:eastAsia="仿宋"/>
          <w:b/>
          <w:color w:val="auto"/>
          <w:highlight w:val="none"/>
          <w:lang w:val="en-US" w:eastAsia="zh-CN"/>
        </w:rPr>
        <w:t>项目</w:t>
      </w:r>
      <w:r>
        <w:rPr>
          <w:rFonts w:hint="eastAsia" w:ascii="仿宋" w:hAnsi="仿宋" w:eastAsia="仿宋"/>
          <w:b/>
          <w:color w:val="auto"/>
          <w:highlight w:val="none"/>
        </w:rPr>
        <w:t>满意度目标</w:t>
      </w:r>
    </w:p>
    <w:p>
      <w:pPr>
        <w:ind w:firstLine="560"/>
        <w:rPr>
          <w:color w:val="auto"/>
          <w:highlight w:val="none"/>
        </w:rPr>
      </w:pPr>
      <w:r>
        <w:rPr>
          <w:rFonts w:hint="eastAsia"/>
          <w:color w:val="auto"/>
          <w:highlight w:val="none"/>
        </w:rPr>
        <w:t>①满意度指标</w:t>
      </w:r>
    </w:p>
    <w:p>
      <w:pPr>
        <w:ind w:firstLine="560"/>
        <w:rPr>
          <w:color w:val="auto"/>
          <w:highlight w:val="none"/>
        </w:rPr>
      </w:pPr>
      <w:r>
        <w:rPr>
          <w:rFonts w:hint="eastAsia"/>
          <w:color w:val="auto"/>
          <w:highlight w:val="none"/>
        </w:rPr>
        <w:t>“受益幼儿家长满意度”指标，预期指标值为</w:t>
      </w:r>
      <w:r>
        <w:rPr>
          <w:rFonts w:hint="eastAsia"/>
          <w:color w:val="auto"/>
          <w:highlight w:val="none"/>
          <w:lang w:eastAsia="zh-CN"/>
        </w:rPr>
        <w:t>大于等于</w:t>
      </w:r>
      <w:r>
        <w:rPr>
          <w:rFonts w:hint="eastAsia"/>
          <w:color w:val="auto"/>
          <w:highlight w:val="none"/>
        </w:rPr>
        <w:t>9</w:t>
      </w:r>
      <w:r>
        <w:rPr>
          <w:rFonts w:hint="eastAsia"/>
          <w:color w:val="auto"/>
          <w:highlight w:val="none"/>
          <w:lang w:val="en-US" w:eastAsia="zh-CN"/>
        </w:rPr>
        <w:t>0</w:t>
      </w:r>
      <w:r>
        <w:rPr>
          <w:rFonts w:hint="eastAsia"/>
          <w:color w:val="auto"/>
          <w:highlight w:val="none"/>
        </w:rPr>
        <w:t>%；</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5258"/>
      <w:bookmarkStart w:id="1" w:name="_Toc22922"/>
      <w:bookmarkStart w:id="2" w:name="_Toc12868"/>
      <w:bookmarkStart w:id="3" w:name="_Toc22169_WPSOffice_Level2"/>
      <w:bookmarkStart w:id="4" w:name="_Toc26632"/>
      <w:bookmarkStart w:id="5" w:name="_Toc480473081"/>
      <w:bookmarkStart w:id="6" w:name="_Toc21664"/>
      <w:bookmarkStart w:id="7" w:name="_Toc5462343"/>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ind w:firstLine="562"/>
        <w:rPr>
          <w:color w:val="auto"/>
          <w:highlight w:val="none"/>
        </w:rPr>
      </w:pPr>
      <w:r>
        <w:rPr>
          <w:rFonts w:hint="eastAsia"/>
          <w:color w:val="auto"/>
          <w:highlight w:val="none"/>
        </w:rPr>
        <w:t>2.绩效评价的对象和范围</w:t>
      </w:r>
    </w:p>
    <w:p>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w:t>
      </w:r>
      <w:r>
        <w:rPr>
          <w:rFonts w:hint="eastAsia"/>
          <w:color w:val="auto"/>
          <w:highlight w:val="none"/>
          <w:lang w:eastAsia="zh-CN"/>
        </w:rPr>
        <w:t>2023年学前教育幼儿资助县级配套</w:t>
      </w:r>
      <w:r>
        <w:rPr>
          <w:rFonts w:hint="eastAsia"/>
          <w:color w:val="auto"/>
          <w:highlight w:val="none"/>
        </w:rPr>
        <w:t>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pacing w:line="600" w:lineRule="exact"/>
        <w:ind w:firstLine="560"/>
        <w:rPr>
          <w:color w:val="auto"/>
          <w:highlight w:val="none"/>
        </w:rPr>
      </w:pPr>
      <w:r>
        <w:rPr>
          <w:rFonts w:hint="eastAsia"/>
          <w:color w:val="auto"/>
          <w:highlight w:val="none"/>
        </w:rPr>
        <w:t>根据以上原则，绩效评价应遵循如下要求：</w:t>
      </w:r>
    </w:p>
    <w:p>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spacing w:line="600" w:lineRule="exact"/>
        <w:ind w:firstLine="560"/>
        <w:rPr>
          <w:color w:val="auto"/>
          <w:highlight w:val="none"/>
        </w:rPr>
      </w:pPr>
      <w:r>
        <w:rPr>
          <w:rFonts w:hint="eastAsia"/>
          <w:color w:val="auto"/>
          <w:highlight w:val="none"/>
        </w:rPr>
        <w:t>（2）保证评价结果的真实性、公正性，提高评价报告的公信力。</w:t>
      </w:r>
    </w:p>
    <w:p>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pPr>
        <w:pStyle w:val="5"/>
        <w:ind w:firstLine="562"/>
        <w:rPr>
          <w:color w:val="auto"/>
          <w:highlight w:val="none"/>
        </w:rPr>
      </w:pPr>
      <w:bookmarkStart w:id="8" w:name="_Toc419984722"/>
      <w:bookmarkStart w:id="9" w:name="_Toc428278230"/>
      <w:bookmarkStart w:id="10" w:name="_Toc26131"/>
      <w:bookmarkStart w:id="11" w:name="_Toc1913"/>
      <w:r>
        <w:rPr>
          <w:rFonts w:hint="eastAsia"/>
          <w:color w:val="auto"/>
          <w:highlight w:val="none"/>
        </w:rPr>
        <w:t>2.绩效评价指标体系</w:t>
      </w:r>
      <w:bookmarkEnd w:id="8"/>
      <w:bookmarkEnd w:id="9"/>
      <w:bookmarkEnd w:id="10"/>
      <w:bookmarkEnd w:id="11"/>
    </w:p>
    <w:p>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pPr>
        <w:bidi w:val="0"/>
        <w:rPr>
          <w:rFonts w:hint="eastAsia"/>
          <w:color w:val="auto"/>
          <w:highlight w:val="none"/>
          <w:lang w:eastAsia="zh-CN"/>
        </w:rPr>
      </w:pPr>
      <w:r>
        <w:rPr>
          <w:rFonts w:hint="eastAsia"/>
          <w:color w:val="auto"/>
          <w:highlight w:val="none"/>
        </w:rPr>
        <w:t>一级指标为：决策、过程、产出、</w:t>
      </w:r>
      <w:r>
        <w:rPr>
          <w:rFonts w:hint="eastAsia"/>
          <w:color w:val="auto"/>
          <w:highlight w:val="none"/>
          <w:lang w:val="en-US" w:eastAsia="zh-CN"/>
        </w:rPr>
        <w:t>成本、</w:t>
      </w:r>
      <w:r>
        <w:rPr>
          <w:rFonts w:hint="eastAsia"/>
          <w:color w:val="auto"/>
          <w:highlight w:val="none"/>
        </w:rPr>
        <w:t>效益</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pPr>
        <w:ind w:firstLine="560"/>
        <w:rPr>
          <w:color w:val="auto"/>
          <w:highlight w:val="none"/>
        </w:rPr>
      </w:pPr>
      <w:r>
        <w:rPr>
          <w:rFonts w:hint="eastAsia"/>
          <w:color w:val="auto"/>
          <w:highlight w:val="none"/>
        </w:rPr>
        <w:t>指标体系包括指标体系表</w:t>
      </w:r>
      <w:r>
        <w:rPr>
          <w:rFonts w:hint="eastAsia"/>
          <w:color w:val="auto"/>
          <w:highlight w:val="none"/>
          <w:lang w:val="en-US" w:eastAsia="zh-CN"/>
        </w:rPr>
        <w:t>和</w:t>
      </w:r>
      <w:r>
        <w:rPr>
          <w:rFonts w:hint="eastAsia"/>
          <w:color w:val="auto"/>
          <w:highlight w:val="none"/>
        </w:rPr>
        <w:t>综合</w:t>
      </w:r>
      <w:r>
        <w:rPr>
          <w:rFonts w:hint="eastAsia"/>
          <w:color w:val="auto"/>
          <w:highlight w:val="none"/>
          <w:lang w:val="en-US" w:eastAsia="zh-CN"/>
        </w:rPr>
        <w:t>得分表</w:t>
      </w:r>
      <w:r>
        <w:rPr>
          <w:rFonts w:hint="eastAsia"/>
          <w:color w:val="auto"/>
          <w:highlight w:val="none"/>
        </w:rPr>
        <w:t>两部分，指标体系表是支持评价的基础数据，各指标的权重由该项目绩效评价小组根据绩效评价原理和评价需求，在调研基础上依据指标的重要性制定形成。综合</w:t>
      </w:r>
      <w:r>
        <w:rPr>
          <w:rFonts w:hint="eastAsia"/>
          <w:color w:val="auto"/>
          <w:highlight w:val="none"/>
          <w:lang w:val="en-US" w:eastAsia="zh-CN"/>
        </w:rPr>
        <w:t>得分表</w:t>
      </w:r>
      <w:r>
        <w:rPr>
          <w:rFonts w:hint="eastAsia"/>
          <w:color w:val="auto"/>
          <w:highlight w:val="none"/>
        </w:rPr>
        <w:t>是</w:t>
      </w:r>
      <w:r>
        <w:rPr>
          <w:rFonts w:hint="eastAsia"/>
          <w:color w:val="auto"/>
          <w:highlight w:val="none"/>
          <w:lang w:val="en-US" w:eastAsia="zh-CN"/>
        </w:rPr>
        <w:t>项目一级指标汇总得分表</w:t>
      </w:r>
      <w:r>
        <w:rPr>
          <w:rFonts w:hint="eastAsia"/>
          <w:color w:val="auto"/>
          <w:highlight w:val="none"/>
        </w:rPr>
        <w:t>。详细指标体系见</w:t>
      </w:r>
      <w:r>
        <w:rPr>
          <w:rFonts w:hint="eastAsia"/>
          <w:color w:val="auto"/>
          <w:highlight w:val="none"/>
          <w:lang w:eastAsia="zh-CN"/>
        </w:rPr>
        <w:t>《</w:t>
      </w:r>
      <w:r>
        <w:rPr>
          <w:rFonts w:hint="eastAsia"/>
          <w:color w:val="auto"/>
          <w:highlight w:val="none"/>
        </w:rPr>
        <w:t>附件1：项目绩效评价指标体系表和项目综合得分表</w:t>
      </w:r>
      <w:r>
        <w:rPr>
          <w:rFonts w:hint="eastAsia"/>
          <w:color w:val="auto"/>
          <w:highlight w:val="none"/>
          <w:lang w:eastAsia="zh-CN"/>
        </w:rPr>
        <w:t>》</w:t>
      </w:r>
      <w:r>
        <w:rPr>
          <w:rFonts w:hint="eastAsia"/>
          <w:color w:val="auto"/>
          <w:highlight w:val="none"/>
        </w:rPr>
        <w:t>。</w:t>
      </w:r>
    </w:p>
    <w:p>
      <w:pPr>
        <w:pStyle w:val="5"/>
        <w:ind w:firstLine="562"/>
        <w:rPr>
          <w:color w:val="auto"/>
          <w:highlight w:val="none"/>
        </w:rPr>
      </w:pPr>
      <w:r>
        <w:rPr>
          <w:rFonts w:hint="eastAsia"/>
          <w:color w:val="auto"/>
          <w:highlight w:val="none"/>
        </w:rPr>
        <w:t>3.评价方法</w:t>
      </w:r>
    </w:p>
    <w:p>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pPr>
        <w:bidi w:val="0"/>
        <w:rPr>
          <w:rFonts w:hint="eastAsia"/>
          <w:color w:val="auto"/>
          <w:highlight w:val="none"/>
        </w:rPr>
      </w:pPr>
      <w:r>
        <w:rPr>
          <w:rFonts w:hint="eastAsia"/>
          <w:color w:val="auto"/>
          <w:highlight w:val="none"/>
        </w:rPr>
        <w:t>三级指标分析环节：总体采用比较法，同时辅以成本效益法、因素分析法以及公众评判法，根据不同三级指标类型进行逐项分析。</w:t>
      </w:r>
    </w:p>
    <w:p>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w:t>
      </w:r>
    </w:p>
    <w:p>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pPr>
        <w:pStyle w:val="5"/>
        <w:ind w:firstLine="562"/>
        <w:rPr>
          <w:color w:val="auto"/>
          <w:highlight w:val="none"/>
        </w:rPr>
      </w:pPr>
      <w:r>
        <w:rPr>
          <w:rFonts w:hint="eastAsia"/>
          <w:color w:val="auto"/>
          <w:highlight w:val="none"/>
        </w:rPr>
        <w:t>4.评价标准</w:t>
      </w:r>
    </w:p>
    <w:p>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pPr>
        <w:ind w:firstLine="560"/>
        <w:rPr>
          <w:color w:val="auto"/>
          <w:highlight w:val="none"/>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）财政部门和预算部门确认或认可的其他标准。</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2024年3月1日，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（1）评价组组长：尤春，</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（2）评价组成员：陈红、孙宝华，</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（3）评价组成员：孙阳、刘梅、李娜，</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22</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23</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30</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pageBreakBefore w:val="0"/>
        <w:kinsoku/>
        <w:wordWrap/>
        <w:topLinePunct w:val="0"/>
        <w:autoSpaceDE/>
        <w:autoSpaceDN/>
        <w:bidi w:val="0"/>
        <w:spacing w:line="560" w:lineRule="exact"/>
        <w:ind w:right="0" w:rightChars="0" w:firstLine="643"/>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开展预算绩效管理工作这一部门职责范围相符，属于部门履职所需；本</w:t>
      </w:r>
      <w:r>
        <w:rPr>
          <w:rFonts w:hint="eastAsia"/>
          <w:color w:val="auto"/>
          <w:highlight w:val="none"/>
          <w:lang w:eastAsia="zh-CN"/>
        </w:rPr>
        <w:t>项目绩效目标与实际工作内容具有相关性；</w:t>
      </w:r>
      <w:r>
        <w:rPr>
          <w:rFonts w:hint="eastAsia"/>
          <w:color w:val="auto"/>
          <w:highlight w:val="none"/>
        </w:rPr>
        <w:t>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ind w:firstLine="56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学前经费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学前经费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w:t>
      </w:r>
    </w:p>
    <w:p>
      <w:pPr>
        <w:ind w:firstLine="560"/>
        <w:rPr>
          <w:rFonts w:hint="eastAsia"/>
          <w:color w:val="auto"/>
          <w:highlight w:val="none"/>
          <w:u w:color="000000"/>
          <w:lang w:val="zh-TW" w:eastAsia="zh-CN"/>
        </w:rPr>
      </w:pPr>
      <w:r>
        <w:rPr>
          <w:rFonts w:hint="eastAsia"/>
          <w:color w:val="auto"/>
          <w:highlight w:val="none"/>
          <w:lang w:eastAsia="zh-CN"/>
        </w:rPr>
        <w:t>项目产出方面：</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享受学前教育资助的幼儿园数量7所</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完成享享受学前教育资助的幼儿人数2027人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完成义务普惠性学前教育资源覆盖率100%。</w:t>
      </w:r>
    </w:p>
    <w:p>
      <w:pPr>
        <w:bidi w:val="0"/>
        <w:rPr>
          <w:rFonts w:hint="eastAsia" w:ascii="仿宋_GB2312" w:hAnsi="仿宋_GB2312" w:eastAsia="仿宋_GB2312" w:cs="仿宋_GB2312"/>
          <w:color w:val="auto"/>
          <w:sz w:val="28"/>
          <w:szCs w:val="28"/>
          <w:highlight w:val="none"/>
          <w:lang w:val="en-US" w:eastAsia="zh-CN"/>
        </w:rPr>
      </w:pPr>
      <w:r>
        <w:rPr>
          <w:rFonts w:hint="eastAsia"/>
          <w:color w:val="auto"/>
          <w:highlight w:val="none"/>
          <w:lang w:eastAsia="zh-CN"/>
        </w:rPr>
        <w:t>项目效益方面：</w:t>
      </w:r>
      <w:r>
        <w:rPr>
          <w:rFonts w:hint="eastAsia" w:ascii="仿宋_GB2312" w:hAnsi="仿宋_GB2312" w:cs="仿宋_GB2312"/>
          <w:color w:val="auto"/>
          <w:sz w:val="28"/>
          <w:szCs w:val="28"/>
          <w:highlight w:val="none"/>
          <w:lang w:val="en-US" w:eastAsia="zh-CN"/>
        </w:rPr>
        <w:t>保障城镇2027名农村在园幼儿免费接受学前三年教育,提高我县农村学前国语教育覆盖率，完善学前教育体系，持续推进学前教育事业发展。</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97.02分，绩效评级为“优秀”。综合评价结论如下：本项目决策指标共设置6个，满分20分，得分率100%；项目过程指标共设置5个，满分20分，得分率95.2%；项目产出指标共设置7个，满分24分，得分率91.58%；项目成本指标共设置1个，满分12分，得分率100%;项目效益指标共设置3个，满分24分，得分率100%。</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开展预算绩效管理工作这一部门职责范围相符，属于部门履职所需；根据《财政资金直接支付申请书》，功能分类</w:t>
      </w:r>
      <w:r>
        <w:rPr>
          <w:rFonts w:hint="eastAsia"/>
          <w:color w:val="auto"/>
          <w:highlight w:val="none"/>
          <w:lang w:val="en-US" w:eastAsia="zh-CN"/>
        </w:rPr>
        <w:t>分别为2050201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项目按照规定的《中华人民共和国预算法》程序申请设立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保障全县2027名农村在园幼儿免费接受学前三年教育,提高我县农村学前国语教育覆盖率，完善学前教育体系，持续推进学前教育事业发展。</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326.52</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326.52</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100%</w:t>
      </w:r>
      <w:r>
        <w:rPr>
          <w:rFonts w:hint="eastAsia"/>
          <w:color w:val="auto"/>
          <w:highlight w:val="none"/>
          <w:lang w:eastAsia="zh-CN"/>
        </w:rPr>
        <w:t>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326.52</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保障城镇居民享受农村学前教育保障经费，解决学前教育幼儿园正常运转经费，改善教育教学环境、提高教育教学质量</w:t>
      </w:r>
      <w:r>
        <w:rPr>
          <w:rFonts w:hint="eastAsia" w:ascii="仿宋_GB2312" w:cs="仿宋_GB2312"/>
          <w:color w:val="auto"/>
          <w:sz w:val="28"/>
          <w:szCs w:val="28"/>
          <w:highlight w:val="none"/>
        </w:rPr>
        <w:t>，</w:t>
      </w:r>
      <w:r>
        <w:rPr>
          <w:rFonts w:hint="eastAsia"/>
          <w:color w:val="auto"/>
          <w:highlight w:val="none"/>
          <w:lang w:eastAsia="zh-CN"/>
        </w:rPr>
        <w:t>预算内容与项目</w:t>
      </w:r>
      <w:r>
        <w:rPr>
          <w:rFonts w:hint="eastAsia"/>
          <w:color w:val="auto"/>
          <w:highlight w:val="none"/>
          <w:lang w:val="en-US" w:eastAsia="zh-CN"/>
        </w:rPr>
        <w:t>大致</w:t>
      </w:r>
      <w:r>
        <w:rPr>
          <w:rFonts w:hint="eastAsia"/>
          <w:color w:val="auto"/>
          <w:highlight w:val="none"/>
          <w:lang w:eastAsia="zh-CN"/>
        </w:rPr>
        <w:t>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ind w:firstLine="560"/>
        <w:rPr>
          <w:b w:val="0"/>
          <w:bCs w:val="0"/>
          <w:color w:val="auto"/>
          <w:highlight w:val="none"/>
        </w:rPr>
      </w:pPr>
      <w:r>
        <w:rPr>
          <w:rFonts w:hint="eastAsia"/>
          <w:color w:val="auto"/>
          <w:highlight w:val="none"/>
        </w:rPr>
        <w:t>本项目实际支付资金</w:t>
      </w:r>
      <w:r>
        <w:rPr>
          <w:rFonts w:hint="eastAsia"/>
          <w:color w:val="auto"/>
          <w:highlight w:val="none"/>
          <w:lang w:val="en-US" w:eastAsia="zh-CN"/>
        </w:rPr>
        <w:t>248.91</w:t>
      </w:r>
      <w:r>
        <w:rPr>
          <w:rFonts w:hint="eastAsia"/>
          <w:color w:val="auto"/>
          <w:highlight w:val="none"/>
        </w:rPr>
        <w:t>万元，预算执行率</w:t>
      </w:r>
      <w:r>
        <w:rPr>
          <w:rFonts w:hint="eastAsia"/>
          <w:color w:val="auto"/>
          <w:highlight w:val="none"/>
          <w:lang w:val="en-US" w:eastAsia="zh-CN"/>
        </w:rPr>
        <w:t>76.23</w:t>
      </w:r>
      <w:r>
        <w:rPr>
          <w:color w:val="auto"/>
          <w:highlight w:val="none"/>
        </w:rPr>
        <w:t>%</w:t>
      </w:r>
      <w:r>
        <w:rPr>
          <w:rFonts w:hint="eastAsia"/>
          <w:color w:val="auto"/>
          <w:highlight w:val="none"/>
        </w:rPr>
        <w:t>（预算执行率=（实际支出资金/预算批复金额）*100%。项目资金主要用于支付</w:t>
      </w:r>
      <w:r>
        <w:rPr>
          <w:rFonts w:hint="eastAsia"/>
          <w:color w:val="auto"/>
          <w:highlight w:val="none"/>
          <w:lang w:val="en-US" w:eastAsia="zh-CN"/>
        </w:rPr>
        <w:t>办公费48.396万元、水费4.88万元、电费5.38万元、邮电费3.9万元、取暖费12.34万元、维修费25.28万元、培训费0.9万元、劳务费10.72万元、其他商品和服务支出12.9万元、助学金91.19万元、办公设备购置44.32万元</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2023年学前教育幼儿资助县级配套托财预[2023]1号</w:t>
      </w:r>
      <w:r>
        <w:rPr>
          <w:rFonts w:hint="eastAsia" w:ascii="仿宋_GB2312" w:cs="仿宋_GB2312"/>
          <w:color w:val="auto"/>
          <w:sz w:val="28"/>
          <w:szCs w:val="28"/>
          <w:highlight w:val="none"/>
        </w:rPr>
        <w:t>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248.91</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19.04</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326.52</w:t>
      </w:r>
      <w:r>
        <w:rPr>
          <w:rFonts w:hint="eastAsia"/>
          <w:color w:val="auto"/>
          <w:highlight w:val="none"/>
        </w:rPr>
        <w:t>万元，其中：本级财政安排资金</w:t>
      </w:r>
      <w:r>
        <w:rPr>
          <w:rFonts w:hint="eastAsia"/>
          <w:color w:val="auto"/>
          <w:highlight w:val="none"/>
          <w:lang w:val="en-US" w:eastAsia="zh-CN"/>
        </w:rPr>
        <w:t>326.52</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w:t>
      </w:r>
      <w:r>
        <w:rPr>
          <w:rFonts w:hint="eastAsia"/>
          <w:color w:val="auto"/>
          <w:highlight w:val="none"/>
          <w:lang w:eastAsia="zh-CN"/>
        </w:rPr>
        <w:t>，</w:t>
      </w:r>
      <w:r>
        <w:rPr>
          <w:rFonts w:hint="eastAsia"/>
          <w:color w:val="auto"/>
          <w:highlight w:val="none"/>
        </w:rPr>
        <w:t>实际到位资金</w:t>
      </w:r>
      <w:r>
        <w:rPr>
          <w:rFonts w:hint="eastAsia"/>
          <w:color w:val="auto"/>
          <w:highlight w:val="none"/>
          <w:lang w:val="en-US" w:eastAsia="zh-CN"/>
        </w:rPr>
        <w:t>326.51</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3.04</w:t>
      </w:r>
      <w:r>
        <w:rPr>
          <w:rFonts w:hint="eastAsia"/>
          <w:color w:val="auto"/>
          <w:highlight w:val="none"/>
        </w:rPr>
        <w:t>分,本项目资金到位率为</w:t>
      </w:r>
      <w:r>
        <w:rPr>
          <w:rFonts w:hint="eastAsia"/>
          <w:color w:val="auto"/>
          <w:highlight w:val="none"/>
          <w:lang w:val="en-US" w:eastAsia="zh-CN"/>
        </w:rPr>
        <w:t>76</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326.52</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248.91</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248.91/326.52</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76.23%</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幼儿园经费</w:t>
      </w:r>
      <w:r>
        <w:rPr>
          <w:rFonts w:hint="eastAsia"/>
          <w:color w:val="auto"/>
          <w:highlight w:val="none"/>
        </w:rPr>
        <w:t>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color w:val="auto"/>
          <w:highlight w:val="none"/>
          <w:lang w:eastAsia="zh-CN"/>
        </w:rPr>
      </w:pPr>
      <w:r>
        <w:rPr>
          <w:rFonts w:hint="eastAsia"/>
          <w:color w:val="auto"/>
          <w:highlight w:val="none"/>
          <w:lang w:eastAsia="zh-CN"/>
        </w:rPr>
        <w:t>③本项目不存在调整。</w:t>
      </w:r>
    </w:p>
    <w:p>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项目产出类指标包括产出数量、产出质量、产出时效、产出成本四方面的内容，权重分为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33.98</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94.38</w:t>
      </w:r>
      <w:r>
        <w:rPr>
          <w:rFonts w:hint="eastAsia" w:asci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享受学前教育资助的幼儿园数量</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7所</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7所</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3分</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无偏差</w:t>
      </w:r>
      <w:r>
        <w:rPr>
          <w:rFonts w:hint="eastAsia"/>
          <w:color w:val="auto"/>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享受学前教育资助的幼儿人数</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2652人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2027人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76.43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23.57%；</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val="en-US" w:eastAsia="zh-CN"/>
        </w:rPr>
        <w:t>偏差原因：由于以前县级学前教育幼儿资金也对私立幼儿园进行补助，因此预期值包含了2所私立幼儿园的幼儿数，实际2023年县级资金仅保障公立幼儿园学前教育补助。改进措施：及时了解新政策新规定，做好学生人数的统计，提高指标预期值的准确度。</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“普惠性学前教育资源覆盖率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bidi w:val="0"/>
        <w:rPr>
          <w:color w:val="auto"/>
          <w:highlight w:val="none"/>
        </w:rPr>
      </w:pPr>
      <w:r>
        <w:rPr>
          <w:rFonts w:hint="eastAsia" w:ascii="仿宋_GB2312" w:hAnsi="仿宋_GB2312" w:cs="仿宋_GB2312"/>
          <w:color w:val="auto"/>
          <w:sz w:val="28"/>
          <w:szCs w:val="28"/>
          <w:highlight w:val="none"/>
          <w:lang w:val="en-US" w:eastAsia="zh-CN"/>
        </w:rPr>
        <w:t>“公办园在园幼儿占比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77%</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81</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19%；</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2.4</w:t>
      </w:r>
      <w:r>
        <w:rPr>
          <w:rFonts w:hint="eastAsia" w:ascii="仿宋_GB2312" w:hAnsi="仿宋_GB2312" w:cs="仿宋_GB2312"/>
          <w:color w:val="auto"/>
          <w:sz w:val="28"/>
          <w:szCs w:val="28"/>
          <w:highlight w:val="none"/>
        </w:rPr>
        <w:t>分。偏差原因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年初指标设置偏高，未结合区域实际情况设置目标。；改进措施为：今后将结合历史数据及工作计划，提高目标合理性</w:t>
      </w:r>
      <w:r>
        <w:rPr>
          <w:rFonts w:hint="eastAsia" w:ascii="仿宋_GB2312" w:hAns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农村学前国语教育覆盖率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专业幼师上岗率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numPr>
          <w:ilvl w:val="0"/>
          <w:numId w:val="3"/>
        </w:numPr>
        <w:bidi w:val="0"/>
        <w:rPr>
          <w:rFonts w:hint="eastAsia"/>
          <w:color w:val="auto"/>
          <w:highlight w:val="none"/>
        </w:rPr>
      </w:pPr>
      <w:r>
        <w:rPr>
          <w:rFonts w:hint="eastAsia"/>
          <w:color w:val="auto"/>
          <w:highlight w:val="none"/>
          <w:lang w:val="en-US" w:eastAsia="zh-CN"/>
        </w:rPr>
        <w:t>时效指标完成情况分析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4.成本指标完成情况分析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学前教育资助经费平均发放标准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numPr>
          <w:ilvl w:val="0"/>
          <w:numId w:val="4"/>
        </w:numPr>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“学前三年毛入率”指标：</w:t>
      </w:r>
      <w:r>
        <w:rPr>
          <w:rFonts w:hint="eastAsia" w:ascii="仿宋_GB2312" w:hAnsi="仿宋_GB2312" w:cs="仿宋_GB2312"/>
          <w:color w:val="auto"/>
          <w:sz w:val="28"/>
          <w:szCs w:val="28"/>
          <w:highlight w:val="none"/>
        </w:rPr>
        <w:t>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rPr>
        <w:t>100%</w:t>
      </w:r>
      <w:r>
        <w:rPr>
          <w:rFonts w:hint="eastAsia" w:cs="仿宋_GB2312"/>
          <w:color w:val="auto"/>
          <w:sz w:val="28"/>
          <w:szCs w:val="28"/>
          <w:highlight w:val="none"/>
          <w:lang w:eastAsia="zh-CN"/>
        </w:rPr>
        <w:t>，</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保障农村适龄幼儿接受免费学前教育</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default"/>
          <w:color w:val="auto"/>
          <w:highlight w:val="none"/>
          <w:lang w:val="en-US" w:eastAsia="zh-CN"/>
        </w:rPr>
      </w:pPr>
      <w:r>
        <w:rPr>
          <w:rFonts w:hint="eastAsia"/>
          <w:color w:val="auto"/>
          <w:highlight w:val="none"/>
          <w:lang w:val="en-US" w:eastAsia="zh-CN"/>
        </w:rPr>
        <w:t>无</w:t>
      </w:r>
    </w:p>
    <w:p>
      <w:pPr>
        <w:pStyle w:val="5"/>
        <w:bidi w:val="0"/>
        <w:rPr>
          <w:rFonts w:hint="eastAsia"/>
          <w:color w:val="auto"/>
          <w:highlight w:val="none"/>
          <w:lang w:val="en-US" w:eastAsia="zh-CN"/>
        </w:rPr>
      </w:pPr>
      <w:r>
        <w:rPr>
          <w:rFonts w:hint="eastAsia"/>
          <w:color w:val="auto"/>
          <w:highlight w:val="none"/>
          <w:lang w:val="en-US" w:eastAsia="zh-CN"/>
        </w:rPr>
        <w:t>4.可持续影响指标完成情况分析</w:t>
      </w:r>
    </w:p>
    <w:p>
      <w:pPr>
        <w:bidi w:val="0"/>
        <w:rPr>
          <w:rFonts w:hint="default"/>
          <w:color w:val="auto"/>
          <w:highlight w:val="none"/>
          <w:lang w:val="en-US" w:eastAsia="zh-CN"/>
        </w:rPr>
      </w:pPr>
      <w:r>
        <w:rPr>
          <w:rFonts w:hint="eastAsia"/>
          <w:color w:val="auto"/>
          <w:highlight w:val="none"/>
          <w:lang w:val="en-US" w:eastAsia="zh-CN"/>
        </w:rPr>
        <w:t>无</w:t>
      </w:r>
    </w:p>
    <w:p>
      <w:pPr>
        <w:pStyle w:val="5"/>
        <w:bidi w:val="0"/>
        <w:rPr>
          <w:rFonts w:hint="eastAsia"/>
          <w:color w:val="auto"/>
          <w:highlight w:val="none"/>
          <w:lang w:val="en-US" w:eastAsia="zh-CN"/>
        </w:rPr>
      </w:pPr>
      <w:r>
        <w:rPr>
          <w:rFonts w:hint="eastAsia"/>
          <w:color w:val="auto"/>
          <w:highlight w:val="none"/>
          <w:lang w:val="en-US" w:eastAsia="zh-CN"/>
        </w:rPr>
        <w:t>5.满意度指标完成情况分析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受益幼儿家长满意度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bookmarkEnd w:id="15"/>
      <w:r>
        <w:rPr>
          <w:rFonts w:hint="eastAsia"/>
          <w:color w:val="auto"/>
          <w:highlight w:val="none"/>
          <w:lang w:eastAsia="zh-CN"/>
        </w:rPr>
        <w:t>。</w:t>
      </w:r>
    </w:p>
    <w:p>
      <w:pPr>
        <w:pStyle w:val="3"/>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pPr>
        <w:bidi w:val="0"/>
        <w:rPr>
          <w:rFonts w:hint="eastAsia"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资金326.52</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资金326.52</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248.91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76.23</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97.32</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w:t>
      </w:r>
      <w:r>
        <w:rPr>
          <w:rFonts w:hint="eastAsia"/>
          <w:color w:val="auto"/>
          <w:highlight w:val="none"/>
        </w:rPr>
        <w:t>偏差</w:t>
      </w:r>
      <w:r>
        <w:rPr>
          <w:rFonts w:hint="eastAsia"/>
          <w:color w:val="auto"/>
          <w:highlight w:val="none"/>
          <w:lang w:val="en-US" w:eastAsia="zh-CN"/>
        </w:rPr>
        <w:t>值为</w:t>
      </w:r>
      <w:r>
        <w:rPr>
          <w:rFonts w:hint="eastAsia" w:ascii="仿宋_GB2312" w:hAnsi="仿宋_GB2312" w:cs="仿宋_GB2312"/>
          <w:color w:val="auto"/>
          <w:sz w:val="28"/>
          <w:szCs w:val="28"/>
          <w:highlight w:val="none"/>
          <w:lang w:val="en-US" w:eastAsia="zh-CN"/>
        </w:rPr>
        <w:t>21.09%</w:t>
      </w:r>
      <w:r>
        <w:rPr>
          <w:rFonts w:hint="eastAsia" w:cs="仿宋_GB2312"/>
          <w:color w:val="auto"/>
          <w:sz w:val="28"/>
          <w:szCs w:val="28"/>
          <w:highlight w:val="none"/>
          <w:lang w:eastAsia="zh-CN"/>
        </w:rPr>
        <w:t>，</w:t>
      </w:r>
      <w:r>
        <w:rPr>
          <w:rFonts w:hint="eastAsia" w:cs="仿宋_GB2312"/>
          <w:color w:val="auto"/>
          <w:sz w:val="28"/>
          <w:szCs w:val="28"/>
          <w:highlight w:val="none"/>
          <w:lang w:val="en-US" w:eastAsia="zh-CN"/>
        </w:rPr>
        <w:t>主要存在偏差情况及原因是：</w:t>
      </w:r>
      <w:r>
        <w:rPr>
          <w:rFonts w:hint="eastAsia"/>
          <w:color w:val="auto"/>
          <w:highlight w:val="none"/>
          <w:lang w:val="en-US" w:eastAsia="zh-CN"/>
        </w:rPr>
        <w:t>原因：由于以前县级学前教育幼儿资金也对私立幼儿园进行补助，因此预期值包含了2所私立幼儿园的幼儿数，实际2023年县级资金仅保障公立幼儿园学前教育补助。改进措施：及时了解新政策新规定，做好学生人数的统计，提高指标预期值的准确度。</w:t>
      </w:r>
    </w:p>
    <w:p>
      <w:pPr>
        <w:bidi w:val="0"/>
        <w:rPr>
          <w:rFonts w:hint="eastAsia"/>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2652人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2027人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76.43</w:t>
      </w:r>
      <w:r>
        <w:rPr>
          <w:rFonts w:hint="eastAsia" w:ascii="仿宋_GB2312" w:hAnsi="仿宋_GB2312" w:cs="仿宋_GB2312"/>
          <w:color w:val="auto"/>
          <w:sz w:val="28"/>
          <w:szCs w:val="28"/>
          <w:highlight w:val="none"/>
        </w:rPr>
        <w:t>%</w:t>
      </w:r>
      <w:r>
        <w:rPr>
          <w:rFonts w:hint="eastAsia"/>
          <w:color w:val="auto"/>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23.57%</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主要存在偏差情况及原因是：</w:t>
      </w:r>
      <w:r>
        <w:rPr>
          <w:rFonts w:hint="eastAsia"/>
          <w:color w:val="auto"/>
          <w:highlight w:val="none"/>
          <w:lang w:val="en-US" w:eastAsia="zh-CN"/>
        </w:rPr>
        <w:t>由于以前县级学前教育幼儿资金也对私立幼儿园进行补助，因此预期值包含了2所私立幼儿园的幼儿数，实际2023年县级资金仅保障公立幼儿园学前教育补助。改进措施：及时了解新政策新规定，做好学生人数的统计，提高指标预期值的准确度。</w:t>
      </w:r>
    </w:p>
    <w:p>
      <w:pPr>
        <w:bidi w:val="0"/>
        <w:rPr>
          <w:rFonts w:hint="eastAsia"/>
          <w:color w:val="auto"/>
          <w:highlight w:val="none"/>
        </w:rPr>
      </w:pPr>
      <w:r>
        <w:rPr>
          <w:rFonts w:hint="eastAsia" w:ascii="仿宋_GB2312" w:hAnsi="仿宋_GB2312" w:cs="仿宋_GB2312"/>
          <w:color w:val="auto"/>
          <w:sz w:val="28"/>
          <w:szCs w:val="28"/>
          <w:highlight w:val="none"/>
          <w:lang w:val="en-US" w:eastAsia="zh-CN"/>
        </w:rPr>
        <w:t>“公办园在园幼儿占比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77%</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81</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19%；</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2.4</w:t>
      </w:r>
      <w:r>
        <w:rPr>
          <w:rFonts w:hint="eastAsia" w:ascii="仿宋_GB2312" w:hAnsi="仿宋_GB2312" w:cs="仿宋_GB2312"/>
          <w:color w:val="auto"/>
          <w:sz w:val="28"/>
          <w:szCs w:val="28"/>
          <w:highlight w:val="none"/>
        </w:rPr>
        <w:t>分。偏差原因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年初指标设置偏高，未结合区域实际情况设置目标。；改进措施为：今后将结合历史数据及工作计划，提高目标合理性</w:t>
      </w:r>
      <w:r>
        <w:rPr>
          <w:rFonts w:hint="eastAsia" w:ascii="仿宋_GB2312" w:hAnsi="仿宋_GB2312" w:cs="仿宋_GB2312"/>
          <w:color w:val="auto"/>
          <w:sz w:val="28"/>
          <w:szCs w:val="28"/>
          <w:highlight w:val="none"/>
        </w:rPr>
        <w:t>。</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5"/>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pPr>
        <w:spacing w:line="560" w:lineRule="exact"/>
        <w:ind w:firstLine="640" w:firstLineChars="200"/>
        <w:rPr>
          <w:rFonts w:hint="eastAsia" w:ascii="仿宋_GB2312"/>
          <w:bCs/>
          <w:color w:val="auto"/>
          <w:sz w:val="32"/>
          <w:szCs w:val="32"/>
          <w:highlight w:val="none"/>
        </w:rPr>
      </w:pPr>
      <w:r>
        <w:rPr>
          <w:rFonts w:hint="eastAsia" w:ascii="仿宋_GB2312"/>
          <w:bCs/>
          <w:color w:val="auto"/>
          <w:sz w:val="32"/>
          <w:szCs w:val="32"/>
          <w:highlight w:val="none"/>
          <w:lang w:val="en-US" w:eastAsia="zh-CN"/>
        </w:rPr>
        <w:t>一是</w:t>
      </w:r>
      <w:r>
        <w:rPr>
          <w:rFonts w:hint="eastAsia" w:ascii="仿宋_GB2312"/>
          <w:bCs/>
          <w:color w:val="auto"/>
          <w:sz w:val="32"/>
          <w:szCs w:val="32"/>
          <w:highlight w:val="none"/>
        </w:rPr>
        <w:t>严控资金的拨付使用，支出符合国家财经法规和财务管理制度规定以及有关专项资金管理办法的规定；</w:t>
      </w:r>
    </w:p>
    <w:p>
      <w:pPr>
        <w:spacing w:line="560" w:lineRule="exact"/>
        <w:ind w:firstLine="640" w:firstLineChars="200"/>
        <w:rPr>
          <w:rFonts w:hint="eastAsia" w:ascii="仿宋_GB2312"/>
          <w:bCs/>
          <w:color w:val="auto"/>
          <w:sz w:val="32"/>
          <w:szCs w:val="32"/>
          <w:highlight w:val="none"/>
        </w:rPr>
      </w:pPr>
      <w:r>
        <w:rPr>
          <w:rFonts w:hint="eastAsia" w:ascii="仿宋_GB2312"/>
          <w:bCs/>
          <w:color w:val="auto"/>
          <w:sz w:val="32"/>
          <w:szCs w:val="32"/>
          <w:highlight w:val="none"/>
          <w:lang w:val="en-US" w:eastAsia="zh-CN"/>
        </w:rPr>
        <w:t>二是</w:t>
      </w:r>
      <w:r>
        <w:rPr>
          <w:rFonts w:hint="eastAsia" w:ascii="仿宋_GB2312"/>
          <w:bCs/>
          <w:color w:val="auto"/>
          <w:sz w:val="32"/>
          <w:szCs w:val="32"/>
          <w:highlight w:val="none"/>
        </w:rPr>
        <w:t>资金拨付有完整的审批程序和手续，并制定出了切实可行的实施计划、管理办法等；</w:t>
      </w:r>
    </w:p>
    <w:p>
      <w:pPr>
        <w:spacing w:line="560" w:lineRule="exact"/>
        <w:ind w:firstLine="640" w:firstLineChars="200"/>
        <w:rPr>
          <w:rFonts w:hint="eastAsia" w:ascii="仿宋_GB2312"/>
          <w:bCs/>
          <w:color w:val="auto"/>
          <w:sz w:val="32"/>
          <w:szCs w:val="32"/>
          <w:highlight w:val="none"/>
        </w:rPr>
      </w:pPr>
      <w:r>
        <w:rPr>
          <w:rFonts w:hint="eastAsia" w:ascii="仿宋_GB2312"/>
          <w:bCs/>
          <w:color w:val="auto"/>
          <w:sz w:val="32"/>
          <w:szCs w:val="32"/>
          <w:highlight w:val="none"/>
          <w:lang w:val="en-US" w:eastAsia="zh-CN"/>
        </w:rPr>
        <w:t>三是</w:t>
      </w:r>
      <w:r>
        <w:rPr>
          <w:rFonts w:hint="eastAsia" w:ascii="仿宋_GB2312"/>
          <w:bCs/>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lang w:val="en-US" w:eastAsia="zh-CN"/>
        </w:rPr>
        <w:t>四是</w:t>
      </w:r>
      <w:r>
        <w:rPr>
          <w:rFonts w:hint="eastAsia" w:ascii="仿宋_GB2312"/>
          <w:bCs/>
          <w:color w:val="auto"/>
          <w:sz w:val="32"/>
          <w:szCs w:val="32"/>
          <w:highlight w:val="none"/>
        </w:rPr>
        <w:t>通过实施2023年农村学前三年教育保障机制经费项目，保障我县2027名城镇在园幼儿免费接受学前三年教育,资金主要用了在园幼儿的伙食费、取暖费、幼儿园日常活动经费等支出，扎实做好了学前教育各项工作，改善了受益群众的家庭经济情况，提高了学前教育普惠保障水平，完善学前教育体系，持续推进学前教育事业发展，满足了人民对幼有所育的期盼。</w:t>
      </w:r>
    </w:p>
    <w:p>
      <w:pPr>
        <w:pStyle w:val="4"/>
        <w:numPr>
          <w:ilvl w:val="0"/>
          <w:numId w:val="5"/>
        </w:numPr>
        <w:ind w:firstLine="643"/>
        <w:rPr>
          <w:color w:val="auto"/>
          <w:highlight w:val="none"/>
        </w:rPr>
      </w:pPr>
      <w:r>
        <w:rPr>
          <w:rFonts w:hint="eastAsia"/>
          <w:color w:val="auto"/>
          <w:highlight w:val="none"/>
        </w:rPr>
        <w:t>存在的问题及原因分析</w:t>
      </w:r>
    </w:p>
    <w:p>
      <w:pPr>
        <w:pStyle w:val="3"/>
        <w:ind w:firstLine="640"/>
        <w:rPr>
          <w:rFonts w:hint="eastAsia" w:ascii="仿宋_GB2312" w:hAnsi="Times New Roman" w:eastAsia="仿宋_GB2312" w:cs="Times New Roman"/>
          <w:bCs/>
          <w:color w:val="auto"/>
          <w:kern w:val="2"/>
          <w:sz w:val="32"/>
          <w:szCs w:val="32"/>
          <w:highlight w:val="none"/>
          <w:lang w:val="en-US" w:eastAsia="zh-CN" w:bidi="ar-SA"/>
        </w:rPr>
      </w:pPr>
      <w:r>
        <w:rPr>
          <w:rFonts w:hint="eastAsia" w:ascii="仿宋_GB2312" w:hAnsi="Times New Roman" w:eastAsia="仿宋_GB2312" w:cs="Times New Roman"/>
          <w:bCs/>
          <w:color w:val="auto"/>
          <w:kern w:val="2"/>
          <w:sz w:val="32"/>
          <w:szCs w:val="32"/>
          <w:highlight w:val="none"/>
          <w:lang w:val="en-US" w:eastAsia="zh-CN" w:bidi="ar-SA"/>
        </w:rPr>
        <w:t>由于以前县级学前教育幼儿资金也对私立幼儿园进行补助，因此预期值包含了2所私立幼儿园的幼儿数，实际2023年县级资金仅保障公立幼儿园学前教育补助。年初指标设置偏高，未结合区域实际情况设置目标。</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spacing w:line="560" w:lineRule="exact"/>
        <w:ind w:firstLine="640" w:firstLineChars="200"/>
        <w:rPr>
          <w:rFonts w:ascii="仿宋_GB2312"/>
          <w:bCs/>
          <w:color w:val="auto"/>
          <w:sz w:val="32"/>
          <w:szCs w:val="32"/>
          <w:highlight w:val="none"/>
        </w:rPr>
      </w:pPr>
      <w:r>
        <w:rPr>
          <w:rFonts w:hint="eastAsia" w:ascii="仿宋_GB2312" w:hAnsi="Times New Roman" w:eastAsia="仿宋_GB2312" w:cs="Times New Roman"/>
          <w:bCs/>
          <w:color w:val="auto"/>
          <w:kern w:val="2"/>
          <w:sz w:val="32"/>
          <w:szCs w:val="32"/>
          <w:highlight w:val="none"/>
          <w:lang w:val="en-US" w:eastAsia="zh-CN" w:bidi="ar-SA"/>
        </w:rPr>
        <w:t>及时了解新政策新规定，做好学生人数的统计，提高指标预期值的准确度。</w:t>
      </w:r>
      <w:r>
        <w:rPr>
          <w:rFonts w:hint="eastAsia" w:ascii="仿宋_GB2312" w:cs="Times New Roman"/>
          <w:bCs/>
          <w:color w:val="auto"/>
          <w:kern w:val="2"/>
          <w:sz w:val="32"/>
          <w:szCs w:val="32"/>
          <w:highlight w:val="none"/>
          <w:lang w:val="en-US" w:eastAsia="zh-CN" w:bidi="ar-SA"/>
        </w:rPr>
        <w:t>今后将结合历史数据及工作计划，提高目标的合理性。</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2C43E2C8"/>
    <w:multiLevelType w:val="singleLevel"/>
    <w:tmpl w:val="2C43E2C8"/>
    <w:lvl w:ilvl="0" w:tentative="0">
      <w:start w:val="3"/>
      <w:numFmt w:val="decimal"/>
      <w:lvlText w:val="%1."/>
      <w:lvlJc w:val="left"/>
      <w:pPr>
        <w:tabs>
          <w:tab w:val="left" w:pos="312"/>
        </w:tabs>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abstractNum w:abstractNumId="4">
    <w:nsid w:val="4B54F814"/>
    <w:multiLevelType w:val="singleLevel"/>
    <w:tmpl w:val="4B54F814"/>
    <w:lvl w:ilvl="0" w:tentative="0">
      <w:start w:val="1"/>
      <w:numFmt w:val="decimal"/>
      <w:lvlText w:val="%1."/>
      <w:lvlJc w:val="left"/>
      <w:pPr>
        <w:tabs>
          <w:tab w:val="left" w:pos="312"/>
        </w:tabs>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4NzdjMGQwZjU2MWJlNTM0OWUxNWY3OTM0ZDA2ODcifQ=="/>
  </w:docVars>
  <w:rsids>
    <w:rsidRoot w:val="00000000"/>
    <w:rsid w:val="00127582"/>
    <w:rsid w:val="022C2BA3"/>
    <w:rsid w:val="025956BB"/>
    <w:rsid w:val="03642D73"/>
    <w:rsid w:val="03BF118F"/>
    <w:rsid w:val="04F4673E"/>
    <w:rsid w:val="07166DCE"/>
    <w:rsid w:val="071C685B"/>
    <w:rsid w:val="09EE583F"/>
    <w:rsid w:val="0C590374"/>
    <w:rsid w:val="0C675DD7"/>
    <w:rsid w:val="0CFA4A8C"/>
    <w:rsid w:val="10937610"/>
    <w:rsid w:val="1288063A"/>
    <w:rsid w:val="12E64D4C"/>
    <w:rsid w:val="13390737"/>
    <w:rsid w:val="135B692A"/>
    <w:rsid w:val="140C15D1"/>
    <w:rsid w:val="175353D7"/>
    <w:rsid w:val="17AC0FFE"/>
    <w:rsid w:val="17B35DB7"/>
    <w:rsid w:val="18982224"/>
    <w:rsid w:val="1A037B71"/>
    <w:rsid w:val="1A047263"/>
    <w:rsid w:val="1CD676AD"/>
    <w:rsid w:val="1FB8106C"/>
    <w:rsid w:val="2054498F"/>
    <w:rsid w:val="223905D4"/>
    <w:rsid w:val="2493704D"/>
    <w:rsid w:val="2505497D"/>
    <w:rsid w:val="25D32AED"/>
    <w:rsid w:val="2644007A"/>
    <w:rsid w:val="266100F9"/>
    <w:rsid w:val="28153891"/>
    <w:rsid w:val="28651CF9"/>
    <w:rsid w:val="29BA1697"/>
    <w:rsid w:val="2B1732E2"/>
    <w:rsid w:val="2D035FCE"/>
    <w:rsid w:val="2DB568C2"/>
    <w:rsid w:val="2DD5100B"/>
    <w:rsid w:val="2E941121"/>
    <w:rsid w:val="2FAF5F15"/>
    <w:rsid w:val="306F163B"/>
    <w:rsid w:val="31562E94"/>
    <w:rsid w:val="328637ED"/>
    <w:rsid w:val="34197D30"/>
    <w:rsid w:val="34556355"/>
    <w:rsid w:val="35496A51"/>
    <w:rsid w:val="356E624F"/>
    <w:rsid w:val="367A41E5"/>
    <w:rsid w:val="39330366"/>
    <w:rsid w:val="39C03EA5"/>
    <w:rsid w:val="3DB040EC"/>
    <w:rsid w:val="3F0331D2"/>
    <w:rsid w:val="3F4F30F7"/>
    <w:rsid w:val="3F5F3F2C"/>
    <w:rsid w:val="3FAD084D"/>
    <w:rsid w:val="40A2448B"/>
    <w:rsid w:val="41BB054D"/>
    <w:rsid w:val="41C85424"/>
    <w:rsid w:val="43D163CE"/>
    <w:rsid w:val="454442ED"/>
    <w:rsid w:val="468772B0"/>
    <w:rsid w:val="47A520E4"/>
    <w:rsid w:val="47ED377C"/>
    <w:rsid w:val="4917580D"/>
    <w:rsid w:val="4A01554A"/>
    <w:rsid w:val="4B233142"/>
    <w:rsid w:val="4D6B4CF6"/>
    <w:rsid w:val="4E0D2791"/>
    <w:rsid w:val="4F416226"/>
    <w:rsid w:val="51034A9D"/>
    <w:rsid w:val="51894824"/>
    <w:rsid w:val="52C55120"/>
    <w:rsid w:val="539435F4"/>
    <w:rsid w:val="53F8370C"/>
    <w:rsid w:val="558C043F"/>
    <w:rsid w:val="56877C24"/>
    <w:rsid w:val="569F1B7A"/>
    <w:rsid w:val="573A2E40"/>
    <w:rsid w:val="5ADA1C4D"/>
    <w:rsid w:val="5B1C5D82"/>
    <w:rsid w:val="5E2A1B5D"/>
    <w:rsid w:val="5E9D0F6C"/>
    <w:rsid w:val="5EBC5637"/>
    <w:rsid w:val="609C79A1"/>
    <w:rsid w:val="60CA4585"/>
    <w:rsid w:val="62E7773E"/>
    <w:rsid w:val="63DE10E9"/>
    <w:rsid w:val="65A36562"/>
    <w:rsid w:val="65DD31AE"/>
    <w:rsid w:val="69B01D77"/>
    <w:rsid w:val="6A015733"/>
    <w:rsid w:val="6AB74997"/>
    <w:rsid w:val="6B3709F5"/>
    <w:rsid w:val="6E0E5716"/>
    <w:rsid w:val="6E8B7C84"/>
    <w:rsid w:val="6ED01F5D"/>
    <w:rsid w:val="6FB870D9"/>
    <w:rsid w:val="705C3A7D"/>
    <w:rsid w:val="70DD2366"/>
    <w:rsid w:val="70F3572C"/>
    <w:rsid w:val="714F6A99"/>
    <w:rsid w:val="723D52D7"/>
    <w:rsid w:val="739C4027"/>
    <w:rsid w:val="740E280E"/>
    <w:rsid w:val="755E20FE"/>
    <w:rsid w:val="776A3922"/>
    <w:rsid w:val="78054355"/>
    <w:rsid w:val="78BE0E43"/>
    <w:rsid w:val="78C20DB3"/>
    <w:rsid w:val="797F3308"/>
    <w:rsid w:val="79F12A79"/>
    <w:rsid w:val="79F63EF5"/>
    <w:rsid w:val="7A3339FB"/>
    <w:rsid w:val="7B6F4839"/>
    <w:rsid w:val="7C00118E"/>
    <w:rsid w:val="7E482C4E"/>
    <w:rsid w:val="7F0D1E11"/>
    <w:rsid w:val="7FD8598D"/>
    <w:rsid w:val="7FF91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afterLines="0" w:line="480" w:lineRule="auto"/>
      <w:ind w:left="420" w:leftChars="200"/>
    </w:pPr>
    <w:rPr>
      <w:szCs w:val="24"/>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10558</Words>
  <Characters>11242</Characters>
  <Lines>0</Lines>
  <Paragraphs>0</Paragraphs>
  <TotalTime>17</TotalTime>
  <ScaleCrop>false</ScaleCrop>
  <LinksUpToDate>false</LinksUpToDate>
  <CharactersWithSpaces>11248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2024-08-19T11:21:24Z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